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1"/>
        <w:gridCol w:w="1559"/>
        <w:gridCol w:w="1701"/>
        <w:gridCol w:w="1559"/>
        <w:gridCol w:w="2126"/>
        <w:gridCol w:w="3119"/>
        <w:gridCol w:w="1134"/>
        <w:gridCol w:w="850"/>
        <w:gridCol w:w="1134"/>
        <w:gridCol w:w="993"/>
      </w:tblGrid>
      <w:tr>
        <w:tc>
          <w:tcPr>
            <w:tcW w:type="dxa" w:w="11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должность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Преподоваемая дисциплина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Ученая степень</w:t>
            </w:r>
          </w:p>
          <w:p w14:paraId="05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(при наличии)</w:t>
            </w:r>
          </w:p>
        </w:tc>
        <w:tc>
          <w:tcPr>
            <w:tcW w:type="dxa" w:w="21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311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Общий стаж работы по специальности</w:t>
            </w:r>
          </w:p>
        </w:tc>
        <w:tc>
          <w:tcPr>
            <w:tcW w:type="dxa" w:w="8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Награды</w:t>
            </w: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Учебное заведение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11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Рубцова Альбина Григорьевна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14:paraId="0F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14:paraId="1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  <w:p w14:paraId="1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  <w:p w14:paraId="1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14:paraId="13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14:paraId="14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14:paraId="15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Направление:</w:t>
            </w:r>
          </w:p>
          <w:p w14:paraId="18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«Начальное образование»</w:t>
            </w:r>
          </w:p>
        </w:tc>
        <w:tc>
          <w:tcPr>
            <w:tcW w:type="dxa" w:w="311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повышения квалификации «Обновленные ФГОС НОО 2022:порядок организации и осуществления образовательной деятельности »2022г.</w:t>
            </w:r>
          </w:p>
          <w:p w14:paraId="1A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«Институт развития образования повышения квалификации и переподготовки»</w:t>
            </w:r>
          </w:p>
          <w:p w14:paraId="1C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 младших школьников»2022 г.</w:t>
            </w:r>
          </w:p>
          <w:p w14:paraId="1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«Классное руководство по ФГОС»2023 г.</w:t>
            </w:r>
          </w:p>
          <w:p w14:paraId="1F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деятельности методического объединения учителей (начальные классы)»2023 г.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Институт развития образования Забайкальского края 20.11.2023 по 23.11.2023 г.в объеме 26 ч</w:t>
            </w:r>
          </w:p>
          <w:p w14:paraId="2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8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ПЗПОУ</w:t>
            </w:r>
          </w:p>
        </w:tc>
        <w:tc>
          <w:tcPr>
            <w:tcW w:type="dxa" w:w="9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специальное</w:t>
            </w:r>
          </w:p>
        </w:tc>
      </w:tr>
    </w:tbl>
    <w:p w14:paraId="26000000"/>
    <w:p w14:paraId="27000000"/>
    <w:p w14:paraId="28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2024-11-14T02:23:14Z</dcterms:modified>
</cp:coreProperties>
</file>